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简体" w:hAnsi="小标宋简体" w:eastAsia="小标宋简体" w:cs="小标宋简体"/>
          <w:b/>
          <w:bCs/>
          <w:sz w:val="44"/>
          <w:szCs w:val="44"/>
        </w:rPr>
      </w:pPr>
      <w:r>
        <w:rPr>
          <w:rFonts w:hint="eastAsia" w:ascii="小标宋简体" w:hAnsi="小标宋简体" w:eastAsia="小标宋简体" w:cs="小标宋简体"/>
          <w:b/>
          <w:bCs/>
          <w:sz w:val="44"/>
          <w:szCs w:val="44"/>
        </w:rPr>
        <w:t>广西教育科学规划2021年度教育基本建设研究专项课题选题指南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一、新形势下广西学校基本建设发展现状与对策研究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二、广西中小学及幼儿园办学条件发展状况评价研究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三、中小学及幼儿园布局规划研究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四、城市、县城寄宿制学校建设研究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五、国土空间规划中教育专项规划编制研究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六、中小学及幼儿园标准化建设指标体系及推进路径研究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七、中小学及幼儿园标准化建设评估体系及监测方法研究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八、政府财政资金支持学校基本建设政策研究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九、教育基建项目融资渠道及风险防范研究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十、教育基建项目前期工作问题及对策研究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十一、教育专项经费监管体系研究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十一、学校校园校舍规划及设计研究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十三、教育专项工程实施规范管理研究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十四、中小学校园校舍维护、管理研究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十五、普通高中大班额现状分析及对策研究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十六、广西乡镇寄宿制学校和乡村小规模学校发展现状研究十七、广西边境0—3公里国门学校发展现状研究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十八、广西中小学及幼儿园“厕所革命”研究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十九、广西农村教师周转宿舍建设与管理研究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二十、广西基础教育专项工程项目第三方评估研究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二十一、广西城镇小区配套幼儿园治理长效机制研究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二十二、广西城镇小区配套中小学建设与管理办法研究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二十三、基础教育闲置办学资源调整使用研究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二十四、广西乡镇中心幼儿园建设及发展研究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二十五、中小学及幼儿园校园校舍及用地确权工作研究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二十六、广西高校基本建设项目PPP建设研究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二十七、广西高校基本建设内控制度研究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二十八、广西高校基本建设全过程咨询研究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二十九、广西高校基本建设全过程管理研究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三十、广西高校基本建设要素保障研究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三十一、广西高校校舍维修长效机制研究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三十二、广西高校重大项目管理研究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三十三、广西高校集聚区产教融合研究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三十四、广西高校新校区城市配套设施保障研究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三十五、广西高校基本建设资金筹措及偿还困难问题研究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三十六、广西大中小学幼儿园基本建设负面清单研究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三十七、广西教育基本建设管理评估体系及办法研究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杨慎</cp:lastModifiedBy>
  <dcterms:modified xsi:type="dcterms:W3CDTF">2021-08-27T03:50:04Z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